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46" w:rsidRPr="00E23253" w:rsidRDefault="003E4250" w:rsidP="006759BA">
      <w:pPr>
        <w:ind w:firstLine="284"/>
        <w:jc w:val="center"/>
        <w:rPr>
          <w:rFonts w:ascii="Traditional Arabic" w:hAnsi="Traditional Arabic" w:cs="Traditional Arabic"/>
          <w:b/>
          <w:bCs/>
          <w:sz w:val="32"/>
          <w:szCs w:val="32"/>
          <w:rtl/>
        </w:rPr>
      </w:pPr>
      <w:r w:rsidRPr="00E23253">
        <w:rPr>
          <w:rFonts w:ascii="Traditional Arabic" w:hAnsi="Traditional Arabic" w:cs="Traditional Arabic"/>
          <w:b/>
          <w:bCs/>
          <w:sz w:val="32"/>
          <w:szCs w:val="32"/>
          <w:rtl/>
        </w:rPr>
        <w:t>صلاة سعادة الدارين</w:t>
      </w:r>
      <w:r w:rsidR="00E23253">
        <w:rPr>
          <w:rFonts w:ascii="Traditional Arabic" w:hAnsi="Traditional Arabic" w:cs="Traditional Arabic" w:hint="cs"/>
          <w:b/>
          <w:bCs/>
          <w:sz w:val="32"/>
          <w:szCs w:val="32"/>
          <w:rtl/>
        </w:rPr>
        <w:t xml:space="preserve"> من الصلوات المبتدعة </w:t>
      </w:r>
      <w:r w:rsidR="006759BA" w:rsidRPr="006759BA">
        <w:rPr>
          <w:rFonts w:ascii="Traditional Arabic" w:hAnsi="Traditional Arabic" w:cs="Traditional Arabic"/>
          <w:b/>
          <w:bCs/>
          <w:sz w:val="32"/>
          <w:szCs w:val="32"/>
          <w:rtl/>
        </w:rPr>
        <w:t>المخصوصة لغرض ديني</w:t>
      </w:r>
      <w:bookmarkStart w:id="0" w:name="_GoBack"/>
      <w:bookmarkEnd w:id="0"/>
    </w:p>
    <w:p w:rsidR="003E4250" w:rsidRPr="00E23253" w:rsidRDefault="006759BA" w:rsidP="006759BA">
      <w:pPr>
        <w:ind w:firstLine="284"/>
        <w:jc w:val="mediumKashida"/>
        <w:rPr>
          <w:rFonts w:ascii="Traditional Arabic" w:hAnsi="Traditional Arabic" w:cs="Traditional Arabic"/>
          <w:sz w:val="32"/>
          <w:szCs w:val="32"/>
          <w:rtl/>
        </w:rPr>
      </w:pPr>
      <w:r w:rsidRPr="006759BA">
        <w:rPr>
          <w:rFonts w:ascii="Traditional Arabic" w:hAnsi="Traditional Arabic" w:cs="Traditional Arabic"/>
          <w:sz w:val="32"/>
          <w:szCs w:val="32"/>
          <w:rtl/>
        </w:rPr>
        <w:t xml:space="preserve">إن الحمد لله والصلاة والسلام على رسول الله ثم أما بعد؛ فمن الصلوات المبتدعة التي اخترعها الصوفية </w:t>
      </w:r>
      <w:r w:rsidRPr="006759BA">
        <w:rPr>
          <w:rFonts w:ascii="Traditional Arabic" w:hAnsi="Traditional Arabic" w:cs="Traditional Arabic" w:hint="cs"/>
          <w:sz w:val="32"/>
          <w:szCs w:val="32"/>
          <w:rtl/>
        </w:rPr>
        <w:t xml:space="preserve">والتي أحدثوها بمحض الهوى والاجتهاد السقيم، </w:t>
      </w:r>
      <w:r w:rsidR="003E4250" w:rsidRPr="00E23253">
        <w:rPr>
          <w:rFonts w:ascii="Traditional Arabic" w:hAnsi="Traditional Arabic" w:cs="Traditional Arabic"/>
          <w:sz w:val="32"/>
          <w:szCs w:val="32"/>
          <w:rtl/>
        </w:rPr>
        <w:t>وهي أيضًا من بدع المتصوفة التي أحدثوها بمحض الهوى والاجتهاد السقيم.</w:t>
      </w:r>
    </w:p>
    <w:p w:rsidR="003E4250" w:rsidRPr="00E23253" w:rsidRDefault="003E4250" w:rsidP="00E23253">
      <w:pPr>
        <w:ind w:firstLine="284"/>
        <w:jc w:val="mediumKashida"/>
        <w:rPr>
          <w:rFonts w:ascii="Traditional Arabic" w:hAnsi="Traditional Arabic" w:cs="Traditional Arabic"/>
          <w:sz w:val="32"/>
          <w:szCs w:val="32"/>
          <w:rtl/>
        </w:rPr>
      </w:pPr>
      <w:r w:rsidRPr="00E23253">
        <w:rPr>
          <w:rFonts w:ascii="Traditional Arabic" w:hAnsi="Traditional Arabic" w:cs="Traditional Arabic"/>
          <w:sz w:val="32"/>
          <w:szCs w:val="32"/>
          <w:rtl/>
        </w:rPr>
        <w:t>وهي عندهم ركعتان، تصليان فيما بين سنة العشاء والوتر، يقرأ في كل ركعة بعد الفاتحة سورة الإخلاص عشر مرات، ويقول بعد السلام: يا فتاح، مائة مرة.</w:t>
      </w:r>
    </w:p>
    <w:p w:rsidR="003E4250" w:rsidRPr="00E23253" w:rsidRDefault="003E4250" w:rsidP="00E23253">
      <w:pPr>
        <w:ind w:firstLine="284"/>
        <w:jc w:val="mediumKashida"/>
        <w:rPr>
          <w:rFonts w:ascii="Traditional Arabic" w:hAnsi="Traditional Arabic" w:cs="Traditional Arabic"/>
          <w:sz w:val="32"/>
          <w:szCs w:val="32"/>
          <w:rtl/>
        </w:rPr>
      </w:pPr>
      <w:r w:rsidRPr="00E23253">
        <w:rPr>
          <w:rFonts w:ascii="Traditional Arabic" w:hAnsi="Traditional Arabic" w:cs="Traditional Arabic"/>
          <w:sz w:val="32"/>
          <w:szCs w:val="32"/>
          <w:rtl/>
        </w:rPr>
        <w:t>وقد ذكرها عنهم اللكنوي، وأشار الشيخ بكر أبو زيد إلى بدعيتها</w:t>
      </w:r>
      <w:r w:rsidRPr="00E23253">
        <w:rPr>
          <w:rStyle w:val="FootnoteReference"/>
          <w:rFonts w:ascii="Traditional Arabic" w:hAnsi="Traditional Arabic" w:cs="Traditional Arabic"/>
          <w:sz w:val="32"/>
          <w:szCs w:val="32"/>
          <w:rtl/>
        </w:rPr>
        <w:footnoteReference w:id="1"/>
      </w:r>
      <w:r w:rsidRPr="00E23253">
        <w:rPr>
          <w:rFonts w:ascii="Traditional Arabic" w:hAnsi="Traditional Arabic" w:cs="Traditional Arabic"/>
          <w:sz w:val="32"/>
          <w:szCs w:val="32"/>
          <w:rtl/>
        </w:rPr>
        <w:t>.</w:t>
      </w:r>
    </w:p>
    <w:p w:rsidR="003E4250" w:rsidRPr="00E23253" w:rsidRDefault="003E4250" w:rsidP="00E23253">
      <w:pPr>
        <w:ind w:firstLine="284"/>
        <w:jc w:val="mediumKashida"/>
        <w:rPr>
          <w:rFonts w:ascii="Traditional Arabic" w:hAnsi="Traditional Arabic" w:cs="Traditional Arabic"/>
          <w:sz w:val="32"/>
          <w:szCs w:val="32"/>
          <w:rtl/>
        </w:rPr>
      </w:pPr>
      <w:r w:rsidRPr="00E23253">
        <w:rPr>
          <w:rFonts w:ascii="Traditional Arabic" w:hAnsi="Traditional Arabic" w:cs="Traditional Arabic"/>
          <w:sz w:val="32"/>
          <w:szCs w:val="32"/>
          <w:rtl/>
        </w:rPr>
        <w:t>ومن تسمية هذه اللصلاة يتبين المقصود من فعلها؛ إذ يريدون بها تحصيل السعادة في الدنيا والآخرة! وما علموا أن السعادة في الدارين لا يمكن أن تتأتى بالمخالفة الشرعية، والتي من أشدها إثمًا إحداث بدعة في الدين، وتشريع سقيم بعقول جاهلة ظالمة.</w:t>
      </w:r>
    </w:p>
    <w:p w:rsidR="003E4250" w:rsidRPr="00E23253" w:rsidRDefault="003E4250"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rPr>
        <w:t>إن الله تكفل بسعادة الدارين لمن حقق شرطين أثنين لا ثالث لهما، وهما: الإيمان، والعمل الصالح، حيث قال سبحانه وتعالى:</w:t>
      </w:r>
      <w:r w:rsidR="00E23253" w:rsidRPr="00E23253">
        <w:rPr>
          <w:rFonts w:ascii="Traditional Arabic" w:hAnsi="Traditional Arabic" w:cs="Traditional Arabic"/>
          <w:sz w:val="32"/>
          <w:szCs w:val="32"/>
          <w:rtl/>
        </w:rPr>
        <w:t xml:space="preserve"> </w:t>
      </w:r>
      <w:r w:rsidR="00E23253" w:rsidRPr="00102BF6">
        <w:rPr>
          <w:rFonts w:ascii="Traditional Arabic" w:hAnsi="Traditional Arabic" w:cs="Traditional Arabic"/>
          <w:b/>
          <w:bCs/>
          <w:sz w:val="32"/>
          <w:szCs w:val="32"/>
          <w:rtl/>
        </w:rPr>
        <w:t>{مَنْ عَمِلَ صَالِحًا مِنْ ذَكَرٍ أَوْ أُنْثَى وَهُوَ مُؤْمِنٌ فَلَنُحْيِيَنَّهُ حَيَاةً طَيِّبَةً وَلَنَجْزِيَنَّهُمْ أَجْرَهُمْ بِأَحْسَنِ مَا كَانُوا يَعْمَلُونَ}</w:t>
      </w:r>
      <w:r w:rsidR="00E23253" w:rsidRPr="00E23253">
        <w:rPr>
          <w:rFonts w:ascii="Traditional Arabic" w:hAnsi="Traditional Arabic" w:cs="Traditional Arabic"/>
          <w:sz w:val="32"/>
          <w:szCs w:val="32"/>
          <w:rtl/>
        </w:rPr>
        <w:t xml:space="preserve"> [النحل: 97].</w:t>
      </w:r>
    </w:p>
    <w:p w:rsidR="00E23253" w:rsidRPr="00E23253" w:rsidRDefault="003E4250"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rPr>
        <w:t>قال ابن القيم: "</w:t>
      </w:r>
      <w:r w:rsidR="00E23253" w:rsidRPr="00E23253">
        <w:rPr>
          <w:rFonts w:ascii="Traditional Arabic" w:hAnsi="Traditional Arabic" w:cs="Traditional Arabic"/>
          <w:sz w:val="32"/>
          <w:szCs w:val="32"/>
          <w:rtl/>
        </w:rPr>
        <w:t xml:space="preserve"> </w:t>
      </w:r>
      <w:r w:rsidR="00E23253" w:rsidRPr="00E23253">
        <w:rPr>
          <w:rFonts w:ascii="Traditional Arabic" w:hAnsi="Traditional Arabic" w:cs="Traditional Arabic"/>
          <w:sz w:val="32"/>
          <w:szCs w:val="32"/>
          <w:rtl/>
          <w:lang w:bidi="ar-EG"/>
        </w:rPr>
        <w:t>فهذا خبر أصدق الصادقين، ومخبره عند أهله عين اليقين، بل حق اليقين؛ فلا بد لكل من عمل صالحا وهو مؤمن</w:t>
      </w:r>
      <w:r w:rsidR="00E23253" w:rsidRPr="00E23253">
        <w:rPr>
          <w:rStyle w:val="FootnoteReference"/>
          <w:rFonts w:ascii="Traditional Arabic" w:hAnsi="Traditional Arabic" w:cs="Traditional Arabic"/>
          <w:sz w:val="32"/>
          <w:szCs w:val="32"/>
          <w:rtl/>
          <w:lang w:bidi="ar-EG"/>
        </w:rPr>
        <w:footnoteReference w:id="2"/>
      </w:r>
      <w:r w:rsidR="00E23253" w:rsidRPr="00E23253">
        <w:rPr>
          <w:rFonts w:ascii="Traditional Arabic" w:hAnsi="Traditional Arabic" w:cs="Traditional Arabic"/>
          <w:sz w:val="32"/>
          <w:szCs w:val="32"/>
          <w:rtl/>
          <w:lang w:bidi="ar-EG"/>
        </w:rPr>
        <w:t xml:space="preserve"> أن يحييه الله حياة طيبة بحسب إيمانه وعمله.</w:t>
      </w:r>
    </w:p>
    <w:p w:rsidR="00E23253" w:rsidRPr="00E23253" w:rsidRDefault="00E23253"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lang w:bidi="ar-EG"/>
        </w:rPr>
        <w:t>ولكن يغلط الجفاة الأجلاف في مسمى الحياة الطيبة، حيث يظنونها التنعم بأنواع المآكل والمشارب والملابس والمناكح، أو لذة الرياسة والمال وقهر الأعداء والتفنن بأنواع الشهوات؛ ولا ريب أن هذه لذة مشتركة بين البهائم، بل قد يكون حظ كثير من البهائم منها أكثر من حظ الإنسان؛ فمن لم يكن عنده لذة إلا اللذة التي تشاركه فيها السباع والدواب والأنعام فذلك ممن ينادى من مكان بعيد</w:t>
      </w:r>
      <w:r w:rsidRPr="00E23253">
        <w:rPr>
          <w:rStyle w:val="FootnoteReference"/>
          <w:rFonts w:ascii="Traditional Arabic" w:hAnsi="Traditional Arabic" w:cs="Traditional Arabic"/>
          <w:sz w:val="32"/>
          <w:szCs w:val="32"/>
          <w:rtl/>
          <w:lang w:bidi="ar-EG"/>
        </w:rPr>
        <w:footnoteReference w:id="3"/>
      </w:r>
      <w:r w:rsidRPr="00E23253">
        <w:rPr>
          <w:rFonts w:ascii="Traditional Arabic" w:hAnsi="Traditional Arabic" w:cs="Traditional Arabic"/>
          <w:sz w:val="32"/>
          <w:szCs w:val="32"/>
          <w:rtl/>
          <w:lang w:bidi="ar-EG"/>
        </w:rPr>
        <w:t>.</w:t>
      </w:r>
    </w:p>
    <w:p w:rsidR="00E23253" w:rsidRPr="00E23253" w:rsidRDefault="00E23253"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lang w:bidi="ar-EG"/>
        </w:rPr>
        <w:lastRenderedPageBreak/>
        <w:t xml:space="preserve">ولكن أين هذه اللذة من اللذة بأمر إذا خالط بشاشته القلوب سلا عن الأبناء والنساء، والأوطان والأموال، والإخوان والمساكن، ورضي بتركها كلها والخروج منها رأسا، وعرض نفسه لأنواع المكاره والمشاق، وهو متحمل لهذا </w:t>
      </w:r>
      <w:r w:rsidRPr="00E23253">
        <w:rPr>
          <w:rStyle w:val="FootnoteReference"/>
          <w:rFonts w:ascii="Traditional Arabic" w:hAnsi="Traditional Arabic" w:cs="Traditional Arabic"/>
          <w:sz w:val="32"/>
          <w:szCs w:val="32"/>
          <w:rtl/>
          <w:lang w:bidi="ar-EG"/>
        </w:rPr>
        <w:footnoteReference w:id="4"/>
      </w:r>
      <w:r w:rsidRPr="00E23253">
        <w:rPr>
          <w:rFonts w:ascii="Traditional Arabic" w:hAnsi="Traditional Arabic" w:cs="Traditional Arabic"/>
          <w:sz w:val="32"/>
          <w:szCs w:val="32"/>
          <w:rtl/>
          <w:lang w:bidi="ar-EG"/>
        </w:rPr>
        <w:t>، منشرح المصدر به، يطيب له قتل ابنه وأبيه وصاحبته وأخيه، لا تأخذه في ذلك لومة لائم.</w:t>
      </w:r>
    </w:p>
    <w:p w:rsidR="00E23253" w:rsidRPr="00E23253" w:rsidRDefault="00E23253"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lang w:bidi="ar-EG"/>
        </w:rPr>
        <w:t>حتى إن أحدهم</w:t>
      </w:r>
      <w:r w:rsidRPr="00E23253">
        <w:rPr>
          <w:rStyle w:val="FootnoteReference"/>
          <w:rFonts w:ascii="Traditional Arabic" w:hAnsi="Traditional Arabic" w:cs="Traditional Arabic"/>
          <w:sz w:val="32"/>
          <w:szCs w:val="32"/>
          <w:rtl/>
          <w:lang w:bidi="ar-EG"/>
        </w:rPr>
        <w:footnoteReference w:id="5"/>
      </w:r>
      <w:r w:rsidRPr="00E23253">
        <w:rPr>
          <w:rFonts w:ascii="Traditional Arabic" w:hAnsi="Traditional Arabic" w:cs="Traditional Arabic"/>
          <w:sz w:val="32"/>
          <w:szCs w:val="32"/>
          <w:rtl/>
          <w:lang w:bidi="ar-EG"/>
        </w:rPr>
        <w:t xml:space="preserve"> ليتلقى الرمح بصدره وهو يقول: "فزت ورب الكعبة".</w:t>
      </w:r>
    </w:p>
    <w:p w:rsidR="00E23253" w:rsidRPr="00E23253" w:rsidRDefault="00E23253"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lang w:bidi="ar-EG"/>
        </w:rPr>
        <w:t>ويستطيل الآخر</w:t>
      </w:r>
      <w:r w:rsidRPr="00E23253">
        <w:rPr>
          <w:rStyle w:val="FootnoteReference"/>
          <w:rFonts w:ascii="Traditional Arabic" w:hAnsi="Traditional Arabic" w:cs="Traditional Arabic"/>
          <w:sz w:val="32"/>
          <w:szCs w:val="32"/>
          <w:rtl/>
          <w:lang w:bidi="ar-EG"/>
        </w:rPr>
        <w:footnoteReference w:id="6"/>
      </w:r>
      <w:r w:rsidRPr="00E23253">
        <w:rPr>
          <w:rFonts w:ascii="Traditional Arabic" w:hAnsi="Traditional Arabic" w:cs="Traditional Arabic"/>
          <w:sz w:val="32"/>
          <w:szCs w:val="32"/>
          <w:rtl/>
          <w:lang w:bidi="ar-EG"/>
        </w:rPr>
        <w:t xml:space="preserve"> حياته حتى يلقي قوته من يده، ويقول: "إنها لحياة طويلة إن صبرت حتى آكلها"، ثم يتقدم إلى الموت فرحا مسرورا.</w:t>
      </w:r>
    </w:p>
    <w:p w:rsidR="00E23253" w:rsidRPr="00E23253" w:rsidRDefault="00E23253"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lang w:bidi="ar-EG"/>
        </w:rPr>
        <w:t xml:space="preserve">ويقول الآخر </w:t>
      </w:r>
      <w:r w:rsidRPr="00E23253">
        <w:rPr>
          <w:rStyle w:val="FootnoteReference"/>
          <w:rFonts w:ascii="Traditional Arabic" w:hAnsi="Traditional Arabic" w:cs="Traditional Arabic"/>
          <w:sz w:val="32"/>
          <w:szCs w:val="32"/>
          <w:rtl/>
          <w:lang w:bidi="ar-EG"/>
        </w:rPr>
        <w:footnoteReference w:id="7"/>
      </w:r>
      <w:r w:rsidRPr="00E23253">
        <w:rPr>
          <w:rFonts w:ascii="Traditional Arabic" w:hAnsi="Traditional Arabic" w:cs="Traditional Arabic"/>
          <w:sz w:val="32"/>
          <w:szCs w:val="32"/>
          <w:rtl/>
          <w:lang w:bidi="ar-EG"/>
        </w:rPr>
        <w:t xml:space="preserve"> - مع فقره-: "لو علم الملوك وأبناء الملوك ما نحن عليه لجالدونا عليه بالسيوف".</w:t>
      </w:r>
    </w:p>
    <w:p w:rsidR="00E23253" w:rsidRPr="00E23253" w:rsidRDefault="00E23253"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lang w:bidi="ar-EG"/>
        </w:rPr>
        <w:t>ويقول الآخر</w:t>
      </w:r>
      <w:r w:rsidRPr="00E23253">
        <w:rPr>
          <w:rStyle w:val="FootnoteReference"/>
          <w:rFonts w:ascii="Traditional Arabic" w:hAnsi="Traditional Arabic" w:cs="Traditional Arabic"/>
          <w:sz w:val="32"/>
          <w:szCs w:val="32"/>
          <w:rtl/>
          <w:lang w:bidi="ar-EG"/>
        </w:rPr>
        <w:footnoteReference w:id="8"/>
      </w:r>
      <w:r w:rsidRPr="00E23253">
        <w:rPr>
          <w:rFonts w:ascii="Traditional Arabic" w:hAnsi="Traditional Arabic" w:cs="Traditional Arabic"/>
          <w:sz w:val="32"/>
          <w:szCs w:val="32"/>
          <w:rtl/>
          <w:lang w:bidi="ar-EG"/>
        </w:rPr>
        <w:t>: "إنه لتمر بالقلب أوقات يرقص فيها طربا".</w:t>
      </w:r>
    </w:p>
    <w:p w:rsidR="00E23253" w:rsidRPr="00E23253" w:rsidRDefault="00E23253" w:rsidP="00E23253">
      <w:pPr>
        <w:ind w:firstLine="284"/>
        <w:jc w:val="mediumKashida"/>
        <w:rPr>
          <w:rFonts w:ascii="Traditional Arabic" w:hAnsi="Traditional Arabic" w:cs="Traditional Arabic"/>
          <w:sz w:val="32"/>
          <w:szCs w:val="32"/>
          <w:rtl/>
          <w:lang w:bidi="ar-EG"/>
        </w:rPr>
      </w:pPr>
      <w:r w:rsidRPr="00E23253">
        <w:rPr>
          <w:rFonts w:ascii="Traditional Arabic" w:hAnsi="Traditional Arabic" w:cs="Traditional Arabic"/>
          <w:sz w:val="32"/>
          <w:szCs w:val="32"/>
          <w:rtl/>
          <w:lang w:bidi="ar-EG"/>
        </w:rPr>
        <w:t>وقال بعض العارفين</w:t>
      </w:r>
      <w:r w:rsidRPr="00E23253">
        <w:rPr>
          <w:rStyle w:val="FootnoteReference"/>
          <w:rFonts w:ascii="Traditional Arabic" w:hAnsi="Traditional Arabic" w:cs="Traditional Arabic"/>
          <w:sz w:val="32"/>
          <w:szCs w:val="32"/>
          <w:rtl/>
          <w:lang w:bidi="ar-EG"/>
        </w:rPr>
        <w:footnoteReference w:id="9"/>
      </w:r>
      <w:r w:rsidRPr="00E23253">
        <w:rPr>
          <w:rFonts w:ascii="Traditional Arabic" w:hAnsi="Traditional Arabic" w:cs="Traditional Arabic"/>
          <w:sz w:val="32"/>
          <w:szCs w:val="32"/>
          <w:rtl/>
          <w:lang w:bidi="ar-EG"/>
        </w:rPr>
        <w:t>: "إنه لتمر بي أوقات، أقول فيها: إن كان أهل الجنة في مثل هذا إنهم لفي عيش طيب</w:t>
      </w:r>
      <w:r w:rsidRPr="00E23253">
        <w:rPr>
          <w:rStyle w:val="FootnoteReference"/>
          <w:rFonts w:ascii="Traditional Arabic" w:hAnsi="Traditional Arabic" w:cs="Traditional Arabic"/>
          <w:sz w:val="32"/>
          <w:szCs w:val="32"/>
          <w:rtl/>
          <w:lang w:bidi="ar-EG"/>
        </w:rPr>
        <w:footnoteReference w:id="10"/>
      </w:r>
      <w:r w:rsidRPr="00E23253">
        <w:rPr>
          <w:rFonts w:ascii="Traditional Arabic" w:hAnsi="Traditional Arabic" w:cs="Traditional Arabic"/>
          <w:sz w:val="32"/>
          <w:szCs w:val="32"/>
          <w:rtl/>
          <w:lang w:bidi="ar-EG"/>
        </w:rPr>
        <w:t>"</w:t>
      </w:r>
      <w:r w:rsidRPr="00E23253">
        <w:rPr>
          <w:rStyle w:val="FootnoteReference"/>
          <w:rFonts w:ascii="Traditional Arabic" w:hAnsi="Traditional Arabic" w:cs="Traditional Arabic"/>
          <w:sz w:val="32"/>
          <w:szCs w:val="32"/>
          <w:rtl/>
          <w:lang w:bidi="ar-EG"/>
        </w:rPr>
        <w:footnoteReference w:id="11"/>
      </w:r>
      <w:r w:rsidRPr="00E23253">
        <w:rPr>
          <w:rFonts w:ascii="Traditional Arabic" w:hAnsi="Traditional Arabic" w:cs="Traditional Arabic"/>
          <w:sz w:val="32"/>
          <w:szCs w:val="32"/>
          <w:rtl/>
          <w:lang w:bidi="ar-EG"/>
        </w:rPr>
        <w:t>.</w:t>
      </w:r>
    </w:p>
    <w:p w:rsidR="003E4250" w:rsidRPr="00E23253" w:rsidRDefault="003E4250" w:rsidP="00E23253">
      <w:pPr>
        <w:ind w:firstLine="284"/>
        <w:jc w:val="mediumKashida"/>
        <w:rPr>
          <w:rFonts w:ascii="Traditional Arabic" w:hAnsi="Traditional Arabic" w:cs="Traditional Arabic"/>
          <w:sz w:val="32"/>
          <w:szCs w:val="32"/>
          <w:rtl/>
        </w:rPr>
      </w:pPr>
    </w:p>
    <w:sectPr w:rsidR="003E4250" w:rsidRPr="00E23253" w:rsidSect="00102BF6">
      <w:footnotePr>
        <w:numRestart w:val="eachPage"/>
      </w:footnotePr>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06" w:rsidRDefault="00D72C06" w:rsidP="003E4250">
      <w:pPr>
        <w:spacing w:after="0" w:line="240" w:lineRule="auto"/>
      </w:pPr>
      <w:r>
        <w:separator/>
      </w:r>
    </w:p>
  </w:endnote>
  <w:endnote w:type="continuationSeparator" w:id="0">
    <w:p w:rsidR="00D72C06" w:rsidRDefault="00D72C06" w:rsidP="003E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06" w:rsidRDefault="00D72C06" w:rsidP="003E4250">
      <w:pPr>
        <w:spacing w:after="0" w:line="240" w:lineRule="auto"/>
      </w:pPr>
      <w:r>
        <w:separator/>
      </w:r>
    </w:p>
  </w:footnote>
  <w:footnote w:type="continuationSeparator" w:id="0">
    <w:p w:rsidR="00D72C06" w:rsidRDefault="00D72C06" w:rsidP="003E4250">
      <w:pPr>
        <w:spacing w:after="0" w:line="240" w:lineRule="auto"/>
      </w:pPr>
      <w:r>
        <w:continuationSeparator/>
      </w:r>
    </w:p>
  </w:footnote>
  <w:footnote w:id="1">
    <w:p w:rsidR="003E4250" w:rsidRPr="00E23253" w:rsidRDefault="003E4250">
      <w:pPr>
        <w:pStyle w:val="FootnoteText"/>
        <w:rPr>
          <w:rFonts w:ascii="Traditional Arabic" w:hAnsi="Traditional Arabic" w:cs="Traditional Arabic"/>
          <w:sz w:val="28"/>
          <w:szCs w:val="28"/>
          <w:rtl/>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الآثار المرفوعة، ص 108، وأنظر: التحديث، ص74.</w:t>
      </w:r>
    </w:p>
  </w:footnote>
  <w:footnote w:id="2">
    <w:p w:rsidR="00E23253" w:rsidRPr="00E23253" w:rsidRDefault="00E23253" w:rsidP="00E23253">
      <w:pPr>
        <w:pStyle w:val="FootnoteText"/>
        <w:rPr>
          <w:rFonts w:ascii="Traditional Arabic" w:hAnsi="Traditional Arabic" w:cs="Traditional Arabic"/>
          <w:sz w:val="28"/>
          <w:szCs w:val="28"/>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"وهو مؤمن" ساقطة من (ت، ق).</w:t>
      </w:r>
    </w:p>
  </w:footnote>
  <w:footnote w:id="3">
    <w:p w:rsidR="00E23253" w:rsidRPr="00E23253" w:rsidRDefault="00E23253" w:rsidP="00E23253">
      <w:pPr>
        <w:pStyle w:val="FootnoteText"/>
        <w:rPr>
          <w:rFonts w:ascii="Traditional Arabic" w:hAnsi="Traditional Arabic" w:cs="Traditional Arabic"/>
          <w:sz w:val="28"/>
          <w:szCs w:val="28"/>
          <w:rtl/>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قال الفراء في "معاني القرآن" (3/ 20): "تقول للرجل الذي لا يفهم قولك: أنت تنادى من مكان بعيد. وتقول للفهم: إنك لتأخذ الشيء من قريب".</w:t>
      </w:r>
    </w:p>
    <w:p w:rsidR="00E23253" w:rsidRPr="00E23253" w:rsidRDefault="00E23253" w:rsidP="00E23253">
      <w:pPr>
        <w:pStyle w:val="FootnoteText"/>
        <w:rPr>
          <w:rFonts w:ascii="Traditional Arabic" w:hAnsi="Traditional Arabic" w:cs="Traditional Arabic"/>
          <w:sz w:val="28"/>
          <w:szCs w:val="28"/>
          <w:rtl/>
          <w:lang w:bidi="ar-EG"/>
        </w:rPr>
      </w:pPr>
      <w:r w:rsidRPr="00E23253">
        <w:rPr>
          <w:rFonts w:ascii="Traditional Arabic" w:hAnsi="Traditional Arabic" w:cs="Traditional Arabic"/>
          <w:sz w:val="28"/>
          <w:szCs w:val="28"/>
          <w:rtl/>
          <w:lang w:bidi="ar-EG"/>
        </w:rPr>
        <w:t>وانظر: "معاني القرآن" للنحاس (6/ 281).</w:t>
      </w:r>
    </w:p>
  </w:footnote>
  <w:footnote w:id="4">
    <w:p w:rsidR="00E23253" w:rsidRPr="00E23253" w:rsidRDefault="00E23253" w:rsidP="00E23253">
      <w:pPr>
        <w:pStyle w:val="FootnoteText"/>
        <w:rPr>
          <w:rFonts w:ascii="Traditional Arabic" w:hAnsi="Traditional Arabic" w:cs="Traditional Arabic"/>
          <w:sz w:val="28"/>
          <w:szCs w:val="28"/>
          <w:rtl/>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غير محررة في (د، ت). (ق): "مستحل بهذا". (ن): "متحمل بهذا".</w:t>
      </w:r>
    </w:p>
  </w:footnote>
  <w:footnote w:id="5">
    <w:p w:rsidR="00E23253" w:rsidRPr="00E23253" w:rsidRDefault="00E23253" w:rsidP="00E23253">
      <w:pPr>
        <w:pStyle w:val="FootnoteText"/>
        <w:rPr>
          <w:rFonts w:ascii="Traditional Arabic" w:hAnsi="Traditional Arabic" w:cs="Traditional Arabic"/>
          <w:sz w:val="28"/>
          <w:szCs w:val="28"/>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هو حرام بن ملحان رضي الله عنه. أخرجه البخاري (4092)، ومسلم (677).</w:t>
      </w:r>
    </w:p>
  </w:footnote>
  <w:footnote w:id="6">
    <w:p w:rsidR="00E23253" w:rsidRPr="00E23253" w:rsidRDefault="00E23253" w:rsidP="00E23253">
      <w:pPr>
        <w:pStyle w:val="FootnoteText"/>
        <w:rPr>
          <w:rFonts w:ascii="Traditional Arabic" w:hAnsi="Traditional Arabic" w:cs="Traditional Arabic"/>
          <w:sz w:val="28"/>
          <w:szCs w:val="28"/>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هو عمير بن الحمام رضي الله عنه. أخرج خبره مسلم (1901).</w:t>
      </w:r>
    </w:p>
  </w:footnote>
  <w:footnote w:id="7">
    <w:p w:rsidR="00E23253" w:rsidRPr="00E23253" w:rsidRDefault="00E23253" w:rsidP="00E23253">
      <w:pPr>
        <w:pStyle w:val="FootnoteText"/>
        <w:rPr>
          <w:rFonts w:ascii="Traditional Arabic" w:hAnsi="Traditional Arabic" w:cs="Traditional Arabic"/>
          <w:sz w:val="28"/>
          <w:szCs w:val="28"/>
          <w:rtl/>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هو إبراهيم بن أدهم. أخرج قوله أبو نعيم في "الحلية" (7/ 370)، والبيهقي في "الزهد" (80)، وغيرهما.</w:t>
      </w:r>
    </w:p>
  </w:footnote>
  <w:footnote w:id="8">
    <w:p w:rsidR="00E23253" w:rsidRPr="00E23253" w:rsidRDefault="00E23253" w:rsidP="00E23253">
      <w:pPr>
        <w:pStyle w:val="FootnoteText"/>
        <w:rPr>
          <w:rFonts w:ascii="Traditional Arabic" w:hAnsi="Traditional Arabic" w:cs="Traditional Arabic"/>
          <w:sz w:val="28"/>
          <w:szCs w:val="28"/>
          <w:rtl/>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هو أبو سليمان الداراني. في "البداية والنهاية" (14/ 152). وانظر: "تاريخ دمشق" (34/ 147).</w:t>
      </w:r>
    </w:p>
  </w:footnote>
  <w:footnote w:id="9">
    <w:p w:rsidR="00E23253" w:rsidRPr="00E23253" w:rsidRDefault="00E23253" w:rsidP="00E23253">
      <w:pPr>
        <w:pStyle w:val="FootnoteText"/>
        <w:rPr>
          <w:rFonts w:ascii="Traditional Arabic" w:hAnsi="Traditional Arabic" w:cs="Traditional Arabic"/>
          <w:sz w:val="28"/>
          <w:szCs w:val="28"/>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هو أبو سليمان الداراني.</w:t>
      </w:r>
    </w:p>
  </w:footnote>
  <w:footnote w:id="10">
    <w:p w:rsidR="00E23253" w:rsidRPr="00E23253" w:rsidRDefault="00E23253" w:rsidP="00E23253">
      <w:pPr>
        <w:pStyle w:val="FootnoteText"/>
        <w:rPr>
          <w:rFonts w:ascii="Traditional Arabic" w:hAnsi="Traditional Arabic" w:cs="Traditional Arabic"/>
          <w:sz w:val="28"/>
          <w:szCs w:val="28"/>
          <w:rtl/>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وفي (ح): "إنهم لفي النعيم". وفي (ن): "لفي أنعم عيش".</w:t>
      </w:r>
    </w:p>
  </w:footnote>
  <w:footnote w:id="11">
    <w:p w:rsidR="00E23253" w:rsidRPr="00E23253" w:rsidRDefault="00E23253">
      <w:pPr>
        <w:pStyle w:val="FootnoteText"/>
        <w:rPr>
          <w:rFonts w:ascii="Traditional Arabic" w:hAnsi="Traditional Arabic" w:cs="Traditional Arabic"/>
          <w:sz w:val="28"/>
          <w:szCs w:val="28"/>
          <w:rtl/>
          <w:lang w:bidi="ar-EG"/>
        </w:rPr>
      </w:pPr>
      <w:r w:rsidRPr="00E23253">
        <w:rPr>
          <w:rStyle w:val="FootnoteReference"/>
          <w:rFonts w:ascii="Traditional Arabic" w:hAnsi="Traditional Arabic" w:cs="Traditional Arabic"/>
          <w:sz w:val="28"/>
          <w:szCs w:val="28"/>
        </w:rPr>
        <w:footnoteRef/>
      </w:r>
      <w:r w:rsidRPr="00E23253">
        <w:rPr>
          <w:rFonts w:ascii="Traditional Arabic" w:hAnsi="Traditional Arabic" w:cs="Traditional Arabic"/>
          <w:sz w:val="28"/>
          <w:szCs w:val="28"/>
          <w:rtl/>
        </w:rPr>
        <w:t xml:space="preserve"> </w:t>
      </w:r>
      <w:r w:rsidRPr="00E23253">
        <w:rPr>
          <w:rFonts w:ascii="Traditional Arabic" w:hAnsi="Traditional Arabic" w:cs="Traditional Arabic"/>
          <w:sz w:val="28"/>
          <w:szCs w:val="28"/>
          <w:rtl/>
          <w:lang w:bidi="ar-EG"/>
        </w:rPr>
        <w:t>مفتاح دار السعادة، ابن القيم، 1/182.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0"/>
    <w:rsid w:val="00102BF6"/>
    <w:rsid w:val="003E4250"/>
    <w:rsid w:val="006759BA"/>
    <w:rsid w:val="00783229"/>
    <w:rsid w:val="00D72C06"/>
    <w:rsid w:val="00DE4746"/>
    <w:rsid w:val="00E23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F444"/>
  <w15:chartTrackingRefBased/>
  <w15:docId w15:val="{F072358C-EEEB-4CD6-9C37-A96FE984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4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250"/>
    <w:rPr>
      <w:sz w:val="20"/>
      <w:szCs w:val="20"/>
    </w:rPr>
  </w:style>
  <w:style w:type="character" w:styleId="FootnoteReference">
    <w:name w:val="footnote reference"/>
    <w:basedOn w:val="DefaultParagraphFont"/>
    <w:uiPriority w:val="99"/>
    <w:semiHidden/>
    <w:unhideWhenUsed/>
    <w:rsid w:val="003E4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615A-092D-4F2C-B32C-FEC0EE5A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2019-12-24T11:36:00Z</dcterms:created>
  <dcterms:modified xsi:type="dcterms:W3CDTF">2019-12-24T11:47:00Z</dcterms:modified>
</cp:coreProperties>
</file>